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D1478" w14:textId="34BEBA76" w:rsidR="00FB18F5" w:rsidRPr="00FB18F5" w:rsidRDefault="00FB18F5" w:rsidP="00FB18F5">
      <w:pPr>
        <w:spacing w:before="1"/>
        <w:ind w:left="112"/>
        <w:jc w:val="center"/>
        <w:rPr>
          <w:i/>
          <w:iCs/>
          <w:u w:val="single"/>
        </w:rPr>
      </w:pPr>
      <w:r w:rsidRPr="00FB18F5">
        <w:rPr>
          <w:i/>
          <w:iCs/>
          <w:u w:val="single"/>
        </w:rPr>
        <w:t>SCHEMA TIPO 1.4 (D.M. _____) GARANZIA FIDEIUSSORIA PER LA RATA DI SALDO</w:t>
      </w:r>
    </w:p>
    <w:p w14:paraId="71B7BAA8" w14:textId="3E78CB44" w:rsidR="00FB18F5" w:rsidRPr="00FB18F5" w:rsidRDefault="00FB18F5" w:rsidP="00FB18F5">
      <w:pPr>
        <w:spacing w:before="1"/>
        <w:ind w:left="112"/>
        <w:jc w:val="center"/>
        <w:rPr>
          <w:i/>
          <w:iCs/>
          <w:u w:val="single"/>
        </w:rPr>
      </w:pPr>
      <w:r w:rsidRPr="00FB18F5">
        <w:rPr>
          <w:i/>
          <w:iCs/>
          <w:u w:val="single"/>
        </w:rPr>
        <w:t>GARANZIA FIDEIUSSORIA PER LA RATA DI SALDO</w:t>
      </w:r>
    </w:p>
    <w:p w14:paraId="51C6B7DA" w14:textId="0DDDC93B" w:rsidR="00FB18F5" w:rsidRPr="00FB18F5" w:rsidRDefault="00FB18F5" w:rsidP="00FB18F5">
      <w:pPr>
        <w:spacing w:before="1"/>
        <w:ind w:left="112"/>
        <w:jc w:val="center"/>
        <w:rPr>
          <w:i/>
          <w:iCs/>
          <w:u w:val="single"/>
        </w:rPr>
      </w:pPr>
      <w:r w:rsidRPr="00FB18F5">
        <w:rPr>
          <w:i/>
          <w:iCs/>
          <w:u w:val="single"/>
        </w:rPr>
        <w:t>(LAVORI, SERVIZI E FORNITURE)</w:t>
      </w:r>
    </w:p>
    <w:p w14:paraId="529B8D7F" w14:textId="65BFBCA7" w:rsidR="00FB18F5" w:rsidRPr="00FB18F5" w:rsidRDefault="00FB18F5" w:rsidP="00FB18F5">
      <w:pPr>
        <w:spacing w:before="1"/>
        <w:ind w:left="112"/>
        <w:jc w:val="center"/>
        <w:rPr>
          <w:i/>
          <w:iCs/>
          <w:u w:val="single"/>
        </w:rPr>
      </w:pPr>
      <w:r w:rsidRPr="00FB18F5">
        <w:rPr>
          <w:i/>
          <w:iCs/>
          <w:u w:val="single"/>
        </w:rPr>
        <w:t>CONDIZIONI CHE RILEVANO NEL RAPPORTO TRA STAZIONE APPALTANTE E GARANTE</w:t>
      </w:r>
    </w:p>
    <w:p w14:paraId="2303941B" w14:textId="77777777" w:rsidR="00FB18F5" w:rsidRDefault="00FB18F5" w:rsidP="00FB18F5">
      <w:pPr>
        <w:spacing w:before="1"/>
        <w:ind w:left="112"/>
        <w:jc w:val="center"/>
      </w:pPr>
    </w:p>
    <w:p w14:paraId="34901296" w14:textId="127EBC1E" w:rsidR="00FB18F5" w:rsidRPr="00FB18F5" w:rsidRDefault="00FB18F5" w:rsidP="00FB18F5">
      <w:pPr>
        <w:spacing w:before="1"/>
        <w:ind w:left="112"/>
        <w:jc w:val="center"/>
        <w:rPr>
          <w:b/>
          <w:bCs/>
        </w:rPr>
      </w:pPr>
      <w:r w:rsidRPr="00FB18F5">
        <w:rPr>
          <w:b/>
          <w:bCs/>
        </w:rPr>
        <w:t>Art. 1.</w:t>
      </w:r>
    </w:p>
    <w:p w14:paraId="1625C8FB" w14:textId="77777777" w:rsidR="00FB18F5" w:rsidRPr="00FB18F5" w:rsidRDefault="00FB18F5" w:rsidP="00FB18F5">
      <w:pPr>
        <w:spacing w:before="1"/>
        <w:ind w:left="112"/>
        <w:jc w:val="center"/>
        <w:rPr>
          <w:b/>
          <w:bCs/>
        </w:rPr>
      </w:pPr>
      <w:r w:rsidRPr="00FB18F5">
        <w:rPr>
          <w:b/>
          <w:bCs/>
        </w:rPr>
        <w:t>Oggetto della garanzia</w:t>
      </w:r>
    </w:p>
    <w:p w14:paraId="429BF969" w14:textId="2C3B765C" w:rsidR="00FB18F5" w:rsidRDefault="00FB18F5" w:rsidP="00FB18F5">
      <w:pPr>
        <w:spacing w:before="1"/>
        <w:ind w:left="112"/>
        <w:jc w:val="center"/>
      </w:pPr>
      <w:r>
        <w:t>1. Il Garante si impegna nei confronti della Stazione</w:t>
      </w:r>
    </w:p>
    <w:p w14:paraId="74BBFBC5" w14:textId="77777777" w:rsidR="00FB18F5" w:rsidRDefault="00FB18F5" w:rsidP="00FB18F5">
      <w:pPr>
        <w:spacing w:before="1"/>
        <w:ind w:left="112"/>
        <w:jc w:val="center"/>
      </w:pPr>
      <w:r>
        <w:t>appaltante, nei limiti della somma garantita indicata nella</w:t>
      </w:r>
    </w:p>
    <w:p w14:paraId="6AB6B178" w14:textId="77777777" w:rsidR="00FB18F5" w:rsidRDefault="00FB18F5" w:rsidP="00FB18F5">
      <w:pPr>
        <w:spacing w:before="1"/>
        <w:ind w:left="112"/>
        <w:jc w:val="center"/>
      </w:pPr>
      <w:r>
        <w:t>Scheda Tecnica, alla restituzione totale o parziale della</w:t>
      </w:r>
    </w:p>
    <w:p w14:paraId="7DC34100" w14:textId="77777777" w:rsidR="00FB18F5" w:rsidRDefault="00FB18F5" w:rsidP="00FB18F5">
      <w:pPr>
        <w:spacing w:before="1"/>
        <w:ind w:left="112"/>
        <w:jc w:val="center"/>
      </w:pPr>
      <w:r>
        <w:t>rata di saldo e dei relativi interessi legali per il pagamento di quanto eventualmente dovuto dal Contraente per</w:t>
      </w:r>
    </w:p>
    <w:p w14:paraId="46A1993B" w14:textId="77777777" w:rsidR="00FB18F5" w:rsidRDefault="00FB18F5" w:rsidP="00FB18F5">
      <w:pPr>
        <w:spacing w:before="1"/>
        <w:ind w:left="112"/>
        <w:jc w:val="center"/>
      </w:pPr>
      <w:r>
        <w:t>difformità e vizi dell’opera, dei servizi e delle forniture</w:t>
      </w:r>
    </w:p>
    <w:p w14:paraId="40804C91" w14:textId="77777777" w:rsidR="00FB18F5" w:rsidRDefault="00FB18F5" w:rsidP="00FB18F5">
      <w:pPr>
        <w:spacing w:before="1"/>
        <w:ind w:left="112"/>
        <w:jc w:val="center"/>
      </w:pPr>
      <w:r>
        <w:t>oggetto del contratto ai sensi dell’art. 103, comma 6, del</w:t>
      </w:r>
    </w:p>
    <w:p w14:paraId="1506323E" w14:textId="77777777" w:rsidR="00FB18F5" w:rsidRDefault="00FB18F5" w:rsidP="00FB18F5">
      <w:pPr>
        <w:spacing w:before="1"/>
        <w:ind w:left="112"/>
        <w:jc w:val="center"/>
      </w:pPr>
      <w:r>
        <w:t>Codice.</w:t>
      </w:r>
    </w:p>
    <w:p w14:paraId="7F6AC9C2" w14:textId="77777777" w:rsidR="00FB18F5" w:rsidRDefault="00FB18F5" w:rsidP="00FB18F5">
      <w:pPr>
        <w:spacing w:before="1"/>
        <w:ind w:left="112"/>
        <w:jc w:val="center"/>
      </w:pPr>
    </w:p>
    <w:p w14:paraId="29C226A7" w14:textId="5B55A369" w:rsidR="00FB18F5" w:rsidRPr="00FB18F5" w:rsidRDefault="00FB18F5" w:rsidP="00FB18F5">
      <w:pPr>
        <w:spacing w:before="1"/>
        <w:ind w:left="112"/>
        <w:jc w:val="center"/>
        <w:rPr>
          <w:b/>
          <w:bCs/>
        </w:rPr>
      </w:pPr>
      <w:r w:rsidRPr="00FB18F5">
        <w:rPr>
          <w:b/>
          <w:bCs/>
        </w:rPr>
        <w:t>Art. 2.</w:t>
      </w:r>
    </w:p>
    <w:p w14:paraId="18519C01" w14:textId="77777777" w:rsidR="00FB18F5" w:rsidRPr="00FB18F5" w:rsidRDefault="00FB18F5" w:rsidP="00FB18F5">
      <w:pPr>
        <w:spacing w:before="1"/>
        <w:ind w:left="112"/>
        <w:jc w:val="center"/>
        <w:rPr>
          <w:b/>
          <w:bCs/>
        </w:rPr>
      </w:pPr>
      <w:r w:rsidRPr="00FB18F5">
        <w:rPr>
          <w:b/>
          <w:bCs/>
        </w:rPr>
        <w:t>Efficacia e durata della garanzia</w:t>
      </w:r>
    </w:p>
    <w:p w14:paraId="0DDA82D8" w14:textId="3ECB16C8" w:rsidR="00FB18F5" w:rsidRDefault="00FB18F5" w:rsidP="00FB18F5">
      <w:pPr>
        <w:spacing w:before="1"/>
        <w:ind w:left="112"/>
        <w:jc w:val="center"/>
      </w:pPr>
      <w:r>
        <w:t>1. L’efficacia della garanzia:</w:t>
      </w:r>
    </w:p>
    <w:p w14:paraId="12DA5FF4" w14:textId="77777777" w:rsidR="00FB18F5" w:rsidRDefault="00FB18F5" w:rsidP="00FB18F5">
      <w:pPr>
        <w:spacing w:before="1"/>
        <w:ind w:left="112"/>
        <w:jc w:val="center"/>
      </w:pPr>
      <w:r>
        <w:t>a) decorre dalla data di erogazione della rata di</w:t>
      </w:r>
    </w:p>
    <w:p w14:paraId="5E9FD20E" w14:textId="77777777" w:rsidR="00FB18F5" w:rsidRDefault="00FB18F5" w:rsidP="00FB18F5">
      <w:pPr>
        <w:spacing w:before="1"/>
        <w:ind w:left="112"/>
        <w:jc w:val="center"/>
      </w:pPr>
      <w:r>
        <w:t>saldo;</w:t>
      </w:r>
    </w:p>
    <w:p w14:paraId="344A48B1" w14:textId="77777777" w:rsidR="00FB18F5" w:rsidRDefault="00FB18F5" w:rsidP="00FB18F5">
      <w:pPr>
        <w:spacing w:before="1"/>
        <w:ind w:left="112"/>
        <w:jc w:val="center"/>
      </w:pPr>
      <w:r>
        <w:t>b) cessa in ogni caso decorsi due anni dalla data</w:t>
      </w:r>
    </w:p>
    <w:p w14:paraId="177A3C18" w14:textId="1035C183" w:rsidR="00FB18F5" w:rsidRDefault="00FB18F5" w:rsidP="00FB18F5">
      <w:pPr>
        <w:spacing w:before="1"/>
        <w:ind w:left="112"/>
        <w:jc w:val="center"/>
      </w:pPr>
      <w:r>
        <w:t>di emissione del certificato di collaudo o del certificato di</w:t>
      </w:r>
      <w:r>
        <w:cr/>
        <w:t>regolare esecuzione o della verifica di conformità, allorché si estingue ad ogni effetto.</w:t>
      </w:r>
    </w:p>
    <w:p w14:paraId="47602A07" w14:textId="794D83AC" w:rsidR="00FB18F5" w:rsidRDefault="00FB18F5" w:rsidP="00FB18F5">
      <w:pPr>
        <w:spacing w:before="1"/>
        <w:ind w:left="112"/>
        <w:jc w:val="center"/>
      </w:pPr>
      <w:r>
        <w:t>2. La liberazione anticipata della garanzia rispetto</w:t>
      </w:r>
    </w:p>
    <w:p w14:paraId="4F39290E" w14:textId="77777777" w:rsidR="00FB18F5" w:rsidRDefault="00FB18F5" w:rsidP="00FB18F5">
      <w:pPr>
        <w:spacing w:before="1"/>
        <w:ind w:left="112"/>
        <w:jc w:val="center"/>
      </w:pPr>
      <w:r>
        <w:t>alle scadenze di cui alla lettera b) del primo comma può</w:t>
      </w:r>
    </w:p>
    <w:p w14:paraId="5EE8E81C" w14:textId="77777777" w:rsidR="00FB18F5" w:rsidRDefault="00FB18F5" w:rsidP="00FB18F5">
      <w:pPr>
        <w:spacing w:before="1"/>
        <w:ind w:left="112"/>
        <w:jc w:val="center"/>
      </w:pPr>
      <w:r>
        <w:t>aver luogo solo con la restituzione al Garante da parte</w:t>
      </w:r>
    </w:p>
    <w:p w14:paraId="281D54D6" w14:textId="77777777" w:rsidR="00FB18F5" w:rsidRDefault="00FB18F5" w:rsidP="00FB18F5">
      <w:pPr>
        <w:spacing w:before="1"/>
        <w:ind w:left="112"/>
        <w:jc w:val="center"/>
      </w:pPr>
      <w:r>
        <w:t>della Stazione appaltante dell’originale della garanzia</w:t>
      </w:r>
    </w:p>
    <w:p w14:paraId="084C6758" w14:textId="77777777" w:rsidR="00FB18F5" w:rsidRDefault="00FB18F5" w:rsidP="00FB18F5">
      <w:pPr>
        <w:spacing w:before="1"/>
        <w:ind w:left="112"/>
        <w:jc w:val="center"/>
      </w:pPr>
      <w:r>
        <w:t>stessa con annotazione di svincolo o con comunicazione</w:t>
      </w:r>
    </w:p>
    <w:p w14:paraId="76254706" w14:textId="77777777" w:rsidR="00FB18F5" w:rsidRDefault="00FB18F5" w:rsidP="00FB18F5">
      <w:pPr>
        <w:spacing w:before="1"/>
        <w:ind w:left="112"/>
        <w:jc w:val="center"/>
      </w:pPr>
      <w:r>
        <w:t>scritta della Stazione appaltante al Garante.</w:t>
      </w:r>
    </w:p>
    <w:p w14:paraId="0F22A9E4" w14:textId="2DC14975" w:rsidR="00FB18F5" w:rsidRDefault="00FB18F5" w:rsidP="00FB18F5">
      <w:pPr>
        <w:spacing w:before="1"/>
        <w:ind w:left="112"/>
        <w:jc w:val="center"/>
      </w:pPr>
      <w:r>
        <w:t>3. Il mancato pagamento del premio/commissione</w:t>
      </w:r>
    </w:p>
    <w:p w14:paraId="3FDC5B48" w14:textId="77777777" w:rsidR="00FB18F5" w:rsidRDefault="00FB18F5" w:rsidP="00FB18F5">
      <w:pPr>
        <w:spacing w:before="1"/>
        <w:ind w:left="112"/>
        <w:jc w:val="center"/>
      </w:pPr>
      <w:r>
        <w:t>non può essere opposto alla Stazione appaltante.</w:t>
      </w:r>
    </w:p>
    <w:p w14:paraId="37FF632F" w14:textId="77777777" w:rsidR="00FB18F5" w:rsidRDefault="00FB18F5" w:rsidP="00FB18F5">
      <w:pPr>
        <w:spacing w:before="1"/>
        <w:ind w:left="112"/>
        <w:jc w:val="center"/>
        <w:rPr>
          <w:b/>
          <w:bCs/>
        </w:rPr>
      </w:pPr>
    </w:p>
    <w:p w14:paraId="03A6AFA1" w14:textId="0CE13D75" w:rsidR="00FB18F5" w:rsidRPr="00FB18F5" w:rsidRDefault="00FB18F5" w:rsidP="00FB18F5">
      <w:pPr>
        <w:spacing w:before="1"/>
        <w:ind w:left="112"/>
        <w:jc w:val="center"/>
        <w:rPr>
          <w:b/>
          <w:bCs/>
        </w:rPr>
      </w:pPr>
      <w:r w:rsidRPr="00FB18F5">
        <w:rPr>
          <w:b/>
          <w:bCs/>
        </w:rPr>
        <w:t>Art. 3.</w:t>
      </w:r>
    </w:p>
    <w:p w14:paraId="2CAC5821" w14:textId="77777777" w:rsidR="00FB18F5" w:rsidRPr="00FB18F5" w:rsidRDefault="00FB18F5" w:rsidP="00FB18F5">
      <w:pPr>
        <w:spacing w:before="1"/>
        <w:ind w:left="112"/>
        <w:jc w:val="center"/>
        <w:rPr>
          <w:b/>
          <w:bCs/>
        </w:rPr>
      </w:pPr>
      <w:r w:rsidRPr="00FB18F5">
        <w:rPr>
          <w:b/>
          <w:bCs/>
        </w:rPr>
        <w:t>Somma garantita</w:t>
      </w:r>
    </w:p>
    <w:p w14:paraId="6ABDBD02" w14:textId="5B8CC5F5" w:rsidR="00FB18F5" w:rsidRDefault="00FB18F5" w:rsidP="00FB18F5">
      <w:pPr>
        <w:spacing w:before="1"/>
        <w:ind w:left="112"/>
        <w:jc w:val="center"/>
      </w:pPr>
      <w:r>
        <w:t>1. La somma garantita dalla presente fideiussione è</w:t>
      </w:r>
    </w:p>
    <w:p w14:paraId="0C08D976" w14:textId="77777777" w:rsidR="00FB18F5" w:rsidRDefault="00FB18F5" w:rsidP="00FB18F5">
      <w:pPr>
        <w:spacing w:before="1"/>
        <w:ind w:left="112"/>
        <w:jc w:val="center"/>
      </w:pPr>
      <w:r>
        <w:t>pari all’importo della rata di saldo erogata, maggiorato</w:t>
      </w:r>
    </w:p>
    <w:p w14:paraId="4A8B2E47" w14:textId="77777777" w:rsidR="00FB18F5" w:rsidRDefault="00FB18F5" w:rsidP="00FB18F5">
      <w:pPr>
        <w:spacing w:before="1"/>
        <w:ind w:left="112"/>
        <w:jc w:val="center"/>
      </w:pPr>
      <w:r>
        <w:t>degli interessi legali calcolati al tasso vigente per il periodo intercorrente tra la data di erogazione, ovvero la data</w:t>
      </w:r>
    </w:p>
    <w:p w14:paraId="587B2C4A" w14:textId="77777777" w:rsidR="00FB18F5" w:rsidRDefault="00FB18F5" w:rsidP="00FB18F5">
      <w:pPr>
        <w:spacing w:before="1"/>
        <w:ind w:left="112"/>
        <w:jc w:val="center"/>
      </w:pPr>
      <w:r>
        <w:t>di emissione del certificato di collaudo o della verifica</w:t>
      </w:r>
    </w:p>
    <w:p w14:paraId="085EEC33" w14:textId="77777777" w:rsidR="00FB18F5" w:rsidRDefault="00FB18F5" w:rsidP="00FB18F5">
      <w:pPr>
        <w:spacing w:before="1"/>
        <w:ind w:left="112"/>
        <w:jc w:val="center"/>
      </w:pPr>
      <w:r>
        <w:t>di conformità nel caso di appalti di servizi o forniture,</w:t>
      </w:r>
    </w:p>
    <w:p w14:paraId="3C9827C9" w14:textId="77777777" w:rsidR="00FB18F5" w:rsidRDefault="00FB18F5" w:rsidP="00FB18F5">
      <w:pPr>
        <w:spacing w:before="1"/>
        <w:ind w:left="112"/>
        <w:jc w:val="center"/>
      </w:pPr>
      <w:r>
        <w:t>e l’assunzione del carattere di definitività dei medesimi</w:t>
      </w:r>
    </w:p>
    <w:p w14:paraId="343B19E5" w14:textId="77777777" w:rsidR="00FB18F5" w:rsidRDefault="00FB18F5" w:rsidP="00FB18F5">
      <w:pPr>
        <w:spacing w:before="1"/>
        <w:ind w:left="112"/>
        <w:jc w:val="center"/>
      </w:pPr>
      <w:r>
        <w:t>(artt. 103, comma 6, e 102, comma 3, del Codice).</w:t>
      </w:r>
    </w:p>
    <w:p w14:paraId="5A5D31CB" w14:textId="42933793" w:rsidR="00FB18F5" w:rsidRDefault="00FB18F5" w:rsidP="00FB18F5">
      <w:pPr>
        <w:spacing w:before="1"/>
        <w:ind w:left="112"/>
        <w:jc w:val="center"/>
      </w:pPr>
      <w:r>
        <w:t>2. L’importo della somma garantita in linea capitale</w:t>
      </w:r>
    </w:p>
    <w:p w14:paraId="444C1D26" w14:textId="77777777" w:rsidR="00FB18F5" w:rsidRDefault="00FB18F5" w:rsidP="00FB18F5">
      <w:pPr>
        <w:spacing w:before="1"/>
        <w:ind w:left="112"/>
        <w:jc w:val="center"/>
      </w:pPr>
      <w:r>
        <w:t>è indicato nella Scheda Tecnica.</w:t>
      </w:r>
    </w:p>
    <w:p w14:paraId="1F428BC3" w14:textId="77777777" w:rsidR="00FB18F5" w:rsidRDefault="00FB18F5" w:rsidP="00FB18F5">
      <w:pPr>
        <w:spacing w:before="1"/>
        <w:ind w:left="112"/>
        <w:jc w:val="both"/>
      </w:pPr>
    </w:p>
    <w:p w14:paraId="370723EE" w14:textId="43357FD3" w:rsidR="00FB18F5" w:rsidRPr="00FB18F5" w:rsidRDefault="00FB18F5" w:rsidP="00FB18F5">
      <w:pPr>
        <w:spacing w:before="1"/>
        <w:ind w:left="112"/>
        <w:jc w:val="center"/>
        <w:rPr>
          <w:b/>
          <w:bCs/>
        </w:rPr>
      </w:pPr>
      <w:r w:rsidRPr="00FB18F5">
        <w:rPr>
          <w:b/>
          <w:bCs/>
        </w:rPr>
        <w:t>Art. 4.</w:t>
      </w:r>
    </w:p>
    <w:p w14:paraId="27FA353C" w14:textId="77777777" w:rsidR="00FB18F5" w:rsidRPr="00FB18F5" w:rsidRDefault="00FB18F5" w:rsidP="00FB18F5">
      <w:pPr>
        <w:spacing w:before="1"/>
        <w:ind w:left="112"/>
        <w:jc w:val="center"/>
        <w:rPr>
          <w:b/>
          <w:bCs/>
        </w:rPr>
      </w:pPr>
      <w:r w:rsidRPr="00FB18F5">
        <w:rPr>
          <w:b/>
          <w:bCs/>
        </w:rPr>
        <w:t>Escussione della garanzia</w:t>
      </w:r>
    </w:p>
    <w:p w14:paraId="44D8F51F" w14:textId="56F87F9F" w:rsidR="00FB18F5" w:rsidRDefault="00FB18F5" w:rsidP="00FB18F5">
      <w:pPr>
        <w:spacing w:before="1"/>
        <w:ind w:left="112"/>
        <w:jc w:val="center"/>
      </w:pPr>
      <w:r>
        <w:t>1. Il Garante corrisponderà l’importo dovuto dal</w:t>
      </w:r>
    </w:p>
    <w:p w14:paraId="52407430" w14:textId="77777777" w:rsidR="00FB18F5" w:rsidRDefault="00FB18F5" w:rsidP="00FB18F5">
      <w:pPr>
        <w:spacing w:before="1"/>
        <w:ind w:left="112"/>
        <w:jc w:val="center"/>
      </w:pPr>
      <w:r>
        <w:t>Contraente, entro il termine di quindici giorni dal ricevimento della semplice richiesta scritta della Stazione</w:t>
      </w:r>
    </w:p>
    <w:p w14:paraId="0DB62BAF" w14:textId="77777777" w:rsidR="00FB18F5" w:rsidRDefault="00FB18F5" w:rsidP="00FB18F5">
      <w:pPr>
        <w:spacing w:before="1"/>
        <w:ind w:left="112"/>
        <w:jc w:val="center"/>
      </w:pPr>
      <w:r>
        <w:t>appaltante – inviata per conoscenza anche al Contraente, – recante l’indicazione del titolo per cui si richiede</w:t>
      </w:r>
    </w:p>
    <w:p w14:paraId="20B68EAD" w14:textId="77777777" w:rsidR="00FB18F5" w:rsidRDefault="00FB18F5" w:rsidP="00FB18F5">
      <w:pPr>
        <w:spacing w:before="1"/>
        <w:ind w:left="112"/>
        <w:jc w:val="center"/>
      </w:pPr>
      <w:r>
        <w:t>l’escussione e degli importi dovuti dal Contraente, ai sensi dell’art. 1.</w:t>
      </w:r>
    </w:p>
    <w:p w14:paraId="168C3BDF" w14:textId="1644D10E" w:rsidR="00FB18F5" w:rsidRDefault="00FB18F5" w:rsidP="00FB18F5">
      <w:pPr>
        <w:spacing w:before="1"/>
        <w:ind w:left="112"/>
        <w:jc w:val="center"/>
      </w:pPr>
      <w:r>
        <w:lastRenderedPageBreak/>
        <w:t>2. Tale richiesta dovrà pervenire al Garante entro i</w:t>
      </w:r>
    </w:p>
    <w:p w14:paraId="1CE19642" w14:textId="77777777" w:rsidR="00FB18F5" w:rsidRDefault="00FB18F5" w:rsidP="00FB18F5">
      <w:pPr>
        <w:spacing w:before="1"/>
        <w:ind w:left="112"/>
        <w:jc w:val="center"/>
      </w:pPr>
      <w:r>
        <w:t>termini di cui all’art. 2 ed essere formulata in conformità</w:t>
      </w:r>
    </w:p>
    <w:p w14:paraId="154E16F4" w14:textId="77777777" w:rsidR="00FB18F5" w:rsidRDefault="00FB18F5" w:rsidP="00FB18F5">
      <w:pPr>
        <w:spacing w:before="1"/>
        <w:ind w:left="112"/>
        <w:jc w:val="center"/>
      </w:pPr>
      <w:r>
        <w:t>all’art. 7.</w:t>
      </w:r>
    </w:p>
    <w:p w14:paraId="6FD35239" w14:textId="6914B4D7" w:rsidR="00FB18F5" w:rsidRDefault="00FB18F5" w:rsidP="00FB18F5">
      <w:pPr>
        <w:spacing w:before="1"/>
        <w:ind w:left="112"/>
        <w:jc w:val="center"/>
      </w:pPr>
      <w:r>
        <w:t>3. Il Garante non gode del beneficio della preventiva</w:t>
      </w:r>
    </w:p>
    <w:p w14:paraId="19064EC5" w14:textId="77777777" w:rsidR="00FB18F5" w:rsidRDefault="00FB18F5" w:rsidP="00FB18F5">
      <w:pPr>
        <w:spacing w:before="1"/>
        <w:ind w:left="112"/>
        <w:jc w:val="center"/>
      </w:pPr>
      <w:r>
        <w:t>escussione del debitore principale di cui all’art. 1944 cod.</w:t>
      </w:r>
    </w:p>
    <w:p w14:paraId="22088B00" w14:textId="77777777" w:rsidR="00FB18F5" w:rsidRDefault="00FB18F5" w:rsidP="00FB18F5">
      <w:pPr>
        <w:spacing w:before="1"/>
        <w:ind w:left="112"/>
        <w:jc w:val="center"/>
      </w:pPr>
      <w:r>
        <w:t>civ. e rinuncia all’eccezione di cui all’art. 1957, comma 2,</w:t>
      </w:r>
    </w:p>
    <w:p w14:paraId="3CC931A7" w14:textId="77777777" w:rsidR="00FB18F5" w:rsidRDefault="00FB18F5" w:rsidP="00FB18F5">
      <w:pPr>
        <w:spacing w:before="1"/>
        <w:ind w:left="112"/>
        <w:jc w:val="center"/>
      </w:pPr>
      <w:r>
        <w:t xml:space="preserve">cod. </w:t>
      </w:r>
      <w:proofErr w:type="gramStart"/>
      <w:r>
        <w:t>civ..</w:t>
      </w:r>
      <w:proofErr w:type="gramEnd"/>
    </w:p>
    <w:p w14:paraId="0D82A56B" w14:textId="5A6A8321" w:rsidR="00FB18F5" w:rsidRDefault="00FB18F5" w:rsidP="00FB18F5">
      <w:pPr>
        <w:spacing w:before="1"/>
        <w:ind w:left="112"/>
        <w:jc w:val="center"/>
      </w:pPr>
      <w:r>
        <w:t>4. Resta salva l’azione di ripetizione verso la Stazione appaltante per il caso in cui le somme pagate dal</w:t>
      </w:r>
    </w:p>
    <w:p w14:paraId="6810B3DD" w14:textId="77777777" w:rsidR="00FB18F5" w:rsidRDefault="00FB18F5" w:rsidP="00FB18F5">
      <w:pPr>
        <w:spacing w:before="1"/>
        <w:ind w:left="112"/>
        <w:jc w:val="center"/>
      </w:pPr>
      <w:r>
        <w:t>Garante risultassero parzialmente o totalmente non dovute dal Contraente o dal Garante (art. 104, comma 10, del</w:t>
      </w:r>
    </w:p>
    <w:p w14:paraId="63D115C0" w14:textId="77777777" w:rsidR="00FB18F5" w:rsidRDefault="00FB18F5" w:rsidP="00FB18F5">
      <w:pPr>
        <w:spacing w:before="1"/>
        <w:ind w:left="112"/>
        <w:jc w:val="center"/>
      </w:pPr>
      <w:r>
        <w:t>Codice).</w:t>
      </w:r>
    </w:p>
    <w:p w14:paraId="1953BD04" w14:textId="77777777" w:rsidR="00FB18F5" w:rsidRDefault="00FB18F5" w:rsidP="00FB18F5">
      <w:pPr>
        <w:spacing w:before="1"/>
        <w:ind w:left="112"/>
        <w:jc w:val="both"/>
      </w:pPr>
    </w:p>
    <w:p w14:paraId="673C593D" w14:textId="3C870836" w:rsidR="00FB18F5" w:rsidRPr="00FB18F5" w:rsidRDefault="00FB18F5" w:rsidP="00FB18F5">
      <w:pPr>
        <w:spacing w:before="1"/>
        <w:ind w:left="112"/>
        <w:jc w:val="center"/>
        <w:rPr>
          <w:b/>
          <w:bCs/>
        </w:rPr>
      </w:pPr>
      <w:r w:rsidRPr="00FB18F5">
        <w:rPr>
          <w:b/>
          <w:bCs/>
        </w:rPr>
        <w:t>Art. 5.</w:t>
      </w:r>
    </w:p>
    <w:p w14:paraId="113867FB" w14:textId="77777777" w:rsidR="00FB18F5" w:rsidRPr="00FB18F5" w:rsidRDefault="00FB18F5" w:rsidP="00FB18F5">
      <w:pPr>
        <w:spacing w:before="1"/>
        <w:ind w:left="112"/>
        <w:jc w:val="center"/>
        <w:rPr>
          <w:b/>
          <w:bCs/>
        </w:rPr>
      </w:pPr>
      <w:r w:rsidRPr="00FB18F5">
        <w:rPr>
          <w:b/>
          <w:bCs/>
        </w:rPr>
        <w:t>Surrogazione - Regresso</w:t>
      </w:r>
    </w:p>
    <w:p w14:paraId="3BF9D476" w14:textId="2352DD94" w:rsidR="00FB18F5" w:rsidRDefault="00FB18F5" w:rsidP="00FB18F5">
      <w:pPr>
        <w:spacing w:before="1"/>
        <w:ind w:left="112"/>
        <w:jc w:val="center"/>
      </w:pPr>
      <w:r>
        <w:t>1. Il Garante, nei limiti delle somme pagate, è surrogato alla Stazione appaltante in tutti i diritti, ragioni ed</w:t>
      </w:r>
    </w:p>
    <w:p w14:paraId="7A588942" w14:textId="77777777" w:rsidR="00FB18F5" w:rsidRDefault="00FB18F5" w:rsidP="00FB18F5">
      <w:pPr>
        <w:spacing w:before="1"/>
        <w:ind w:left="112"/>
        <w:jc w:val="center"/>
      </w:pPr>
      <w:r>
        <w:t>azioni verso il Contraente, i suoi successori ed aventi causa a qualsiasi titolo.</w:t>
      </w:r>
    </w:p>
    <w:p w14:paraId="31969360" w14:textId="3D0B4810" w:rsidR="00FB18F5" w:rsidRDefault="00FB18F5" w:rsidP="00FB18F5">
      <w:pPr>
        <w:spacing w:before="1"/>
        <w:ind w:left="112"/>
        <w:jc w:val="center"/>
      </w:pPr>
      <w:r>
        <w:t>2. Il Garante ha altresì diritto di regresso verso il</w:t>
      </w:r>
    </w:p>
    <w:p w14:paraId="78A0A103" w14:textId="77777777" w:rsidR="00FB18F5" w:rsidRDefault="00FB18F5" w:rsidP="00FB18F5">
      <w:pPr>
        <w:spacing w:before="1"/>
        <w:ind w:left="112"/>
        <w:jc w:val="center"/>
      </w:pPr>
      <w:r>
        <w:t>Contraente per le somme pagate in forza della presente</w:t>
      </w:r>
    </w:p>
    <w:p w14:paraId="454DF9CF" w14:textId="77777777" w:rsidR="00FB18F5" w:rsidRDefault="00FB18F5" w:rsidP="00FB18F5">
      <w:pPr>
        <w:spacing w:before="1"/>
        <w:ind w:left="112"/>
        <w:jc w:val="center"/>
      </w:pPr>
      <w:r>
        <w:t>garanzia (art. 104, comma 10, del Codice).</w:t>
      </w:r>
    </w:p>
    <w:p w14:paraId="5B754EA4" w14:textId="74D86AB8" w:rsidR="00FB18F5" w:rsidRDefault="00FB18F5" w:rsidP="00FB18F5">
      <w:pPr>
        <w:spacing w:before="1"/>
        <w:ind w:left="112"/>
        <w:jc w:val="center"/>
      </w:pPr>
      <w:r>
        <w:t>3. La Stazione appaltante faciliterà le azioni di recupero fornendo al Garante tutti gli elementi utili in suo</w:t>
      </w:r>
    </w:p>
    <w:p w14:paraId="56226865" w14:textId="3E56DE9E" w:rsidR="00C85F18" w:rsidRDefault="00FB18F5" w:rsidP="00FB18F5">
      <w:pPr>
        <w:spacing w:before="1"/>
        <w:ind w:left="112"/>
        <w:jc w:val="center"/>
      </w:pPr>
      <w:r>
        <w:t>possesso.</w:t>
      </w:r>
    </w:p>
    <w:p w14:paraId="29A55D01" w14:textId="77777777" w:rsidR="00FB18F5" w:rsidRDefault="00FB18F5" w:rsidP="00FB18F5">
      <w:pPr>
        <w:spacing w:before="1"/>
        <w:ind w:left="112"/>
        <w:jc w:val="center"/>
      </w:pPr>
    </w:p>
    <w:p w14:paraId="281DDECB" w14:textId="77777777" w:rsidR="00FB18F5" w:rsidRPr="00FB18F5" w:rsidRDefault="00FB18F5" w:rsidP="00FB18F5">
      <w:pPr>
        <w:spacing w:before="1"/>
        <w:ind w:left="112"/>
        <w:jc w:val="center"/>
        <w:rPr>
          <w:b/>
          <w:bCs/>
        </w:rPr>
      </w:pPr>
      <w:r w:rsidRPr="00FB18F5">
        <w:rPr>
          <w:b/>
          <w:bCs/>
        </w:rPr>
        <w:t>Art. 6.</w:t>
      </w:r>
    </w:p>
    <w:p w14:paraId="1CF8E6CB" w14:textId="77777777" w:rsidR="00FB18F5" w:rsidRPr="00FB18F5" w:rsidRDefault="00FB18F5" w:rsidP="00FB18F5">
      <w:pPr>
        <w:spacing w:before="1"/>
        <w:ind w:left="112"/>
        <w:jc w:val="center"/>
        <w:rPr>
          <w:b/>
          <w:bCs/>
        </w:rPr>
      </w:pPr>
      <w:r w:rsidRPr="00FB18F5">
        <w:rPr>
          <w:b/>
          <w:bCs/>
        </w:rPr>
        <w:t>Sanzioni internazionali</w:t>
      </w:r>
    </w:p>
    <w:p w14:paraId="13BAB372" w14:textId="2D831E0A" w:rsidR="00FB18F5" w:rsidRDefault="00FB18F5" w:rsidP="00FB18F5">
      <w:pPr>
        <w:spacing w:before="1"/>
        <w:ind w:left="112"/>
        <w:jc w:val="center"/>
      </w:pPr>
      <w:r>
        <w:t>1. Nessun garante è tenuto a fornire la copertura e</w:t>
      </w:r>
    </w:p>
    <w:p w14:paraId="7C82CAA4" w14:textId="77777777" w:rsidR="00FB18F5" w:rsidRDefault="00FB18F5" w:rsidP="00FB18F5">
      <w:pPr>
        <w:spacing w:before="1"/>
        <w:ind w:left="112"/>
        <w:jc w:val="center"/>
      </w:pPr>
      <w:r>
        <w:t>a prestare beneficio conseguente o a pagare alcuna pretesa, nella misura in cui la fornitura di tale copertura, la</w:t>
      </w:r>
    </w:p>
    <w:p w14:paraId="40A4F88E" w14:textId="77777777" w:rsidR="00FB18F5" w:rsidRDefault="00FB18F5" w:rsidP="00FB18F5">
      <w:pPr>
        <w:spacing w:before="1"/>
        <w:ind w:left="112"/>
        <w:jc w:val="center"/>
      </w:pPr>
      <w:r>
        <w:t>prestazione di tali benefici o il pagamento di tale pretesa</w:t>
      </w:r>
    </w:p>
    <w:p w14:paraId="13E0268C" w14:textId="77777777" w:rsidR="00FB18F5" w:rsidRDefault="00FB18F5" w:rsidP="00FB18F5">
      <w:pPr>
        <w:spacing w:before="1"/>
        <w:ind w:left="112"/>
        <w:jc w:val="center"/>
      </w:pPr>
      <w:r>
        <w:t>possa esporre il garante stesso a qualsivoglia sanzione,</w:t>
      </w:r>
    </w:p>
    <w:p w14:paraId="19337CDD" w14:textId="77777777" w:rsidR="00FB18F5" w:rsidRDefault="00FB18F5" w:rsidP="00FB18F5">
      <w:pPr>
        <w:spacing w:before="1"/>
        <w:ind w:left="112"/>
        <w:jc w:val="center"/>
      </w:pPr>
      <w:r>
        <w:t>divieto o restrizione ai sensi delle risoluzioni delle Nazioni Unite ovvero sanzioni economiche o commerciali,</w:t>
      </w:r>
    </w:p>
    <w:p w14:paraId="6749E002" w14:textId="77777777" w:rsidR="00FB18F5" w:rsidRDefault="00FB18F5" w:rsidP="00FB18F5">
      <w:pPr>
        <w:spacing w:before="1"/>
        <w:ind w:left="112"/>
        <w:jc w:val="center"/>
      </w:pPr>
      <w:r>
        <w:t>legislative o regolamentari dell’Unione europea, degli</w:t>
      </w:r>
    </w:p>
    <w:p w14:paraId="18238FA2" w14:textId="77777777" w:rsidR="00FB18F5" w:rsidRDefault="00FB18F5" w:rsidP="00FB18F5">
      <w:pPr>
        <w:spacing w:before="1"/>
        <w:ind w:left="112"/>
        <w:jc w:val="center"/>
      </w:pPr>
      <w:r>
        <w:t>Stati Uniti d’America, dell’Area Economica Europea e/o</w:t>
      </w:r>
    </w:p>
    <w:p w14:paraId="274A0AB3" w14:textId="77777777" w:rsidR="00FB18F5" w:rsidRDefault="00FB18F5" w:rsidP="00FB18F5">
      <w:pPr>
        <w:spacing w:before="1"/>
        <w:ind w:left="112"/>
        <w:jc w:val="center"/>
      </w:pPr>
      <w:r>
        <w:t>di qualunque altra legge nazionale applicabile in materia</w:t>
      </w:r>
    </w:p>
    <w:p w14:paraId="5E894E7D" w14:textId="77777777" w:rsidR="00FB18F5" w:rsidRDefault="00FB18F5" w:rsidP="00FB18F5">
      <w:pPr>
        <w:spacing w:before="1"/>
        <w:ind w:left="112"/>
        <w:jc w:val="center"/>
      </w:pPr>
      <w:r>
        <w:t>di sanzioni economiche o commerciali e/o di embargo</w:t>
      </w:r>
    </w:p>
    <w:p w14:paraId="54950CF7" w14:textId="77777777" w:rsidR="00FB18F5" w:rsidRDefault="00FB18F5" w:rsidP="00FB18F5">
      <w:pPr>
        <w:spacing w:before="1"/>
        <w:ind w:left="112"/>
        <w:jc w:val="center"/>
      </w:pPr>
      <w:r>
        <w:t>internazionale.</w:t>
      </w:r>
    </w:p>
    <w:p w14:paraId="06839621" w14:textId="77777777" w:rsidR="00FB18F5" w:rsidRDefault="00FB18F5" w:rsidP="00FB18F5">
      <w:pPr>
        <w:spacing w:before="1"/>
        <w:ind w:left="112"/>
        <w:jc w:val="center"/>
      </w:pPr>
    </w:p>
    <w:p w14:paraId="751F4DB9" w14:textId="1A242F97" w:rsidR="00FB18F5" w:rsidRPr="00FB18F5" w:rsidRDefault="00FB18F5" w:rsidP="00FB18F5">
      <w:pPr>
        <w:spacing w:before="1"/>
        <w:ind w:left="112"/>
        <w:jc w:val="center"/>
        <w:rPr>
          <w:b/>
          <w:bCs/>
        </w:rPr>
      </w:pPr>
      <w:r w:rsidRPr="00FB18F5">
        <w:rPr>
          <w:b/>
          <w:bCs/>
        </w:rPr>
        <w:t>Art. 7.</w:t>
      </w:r>
    </w:p>
    <w:p w14:paraId="4CF5A4EC" w14:textId="77777777" w:rsidR="00FB18F5" w:rsidRPr="00FB18F5" w:rsidRDefault="00FB18F5" w:rsidP="00FB18F5">
      <w:pPr>
        <w:spacing w:before="1"/>
        <w:ind w:left="112"/>
        <w:jc w:val="center"/>
        <w:rPr>
          <w:b/>
          <w:bCs/>
        </w:rPr>
      </w:pPr>
      <w:r w:rsidRPr="00FB18F5">
        <w:rPr>
          <w:b/>
          <w:bCs/>
        </w:rPr>
        <w:t>Forma delle comunicazioni</w:t>
      </w:r>
    </w:p>
    <w:p w14:paraId="06C4CF2C" w14:textId="7942720B" w:rsidR="00FB18F5" w:rsidRDefault="00FB18F5" w:rsidP="00FB18F5">
      <w:pPr>
        <w:spacing w:before="1"/>
        <w:ind w:left="112"/>
        <w:jc w:val="center"/>
      </w:pPr>
      <w:r>
        <w:t>1. Tutte le comunicazioni e notifiche al Garante dipendenti dalla presente garanzia, per essere valide, devono essere fatte esclusivamente con lettera raccomandata</w:t>
      </w:r>
    </w:p>
    <w:p w14:paraId="474C91DE" w14:textId="77777777" w:rsidR="00FB18F5" w:rsidRDefault="00FB18F5" w:rsidP="00FB18F5">
      <w:pPr>
        <w:spacing w:before="1"/>
        <w:ind w:left="112"/>
        <w:jc w:val="center"/>
      </w:pPr>
      <w:r>
        <w:t>o tramite PEC inviate agli indirizzi indicati nella Scheda</w:t>
      </w:r>
    </w:p>
    <w:p w14:paraId="5F84C50B" w14:textId="77777777" w:rsidR="00FB18F5" w:rsidRDefault="00FB18F5" w:rsidP="00FB18F5">
      <w:pPr>
        <w:spacing w:before="1"/>
        <w:ind w:left="112"/>
        <w:jc w:val="center"/>
      </w:pPr>
      <w:r>
        <w:t>Tecnica.</w:t>
      </w:r>
    </w:p>
    <w:p w14:paraId="3C78F960" w14:textId="77777777" w:rsidR="00FB18F5" w:rsidRPr="00FB18F5" w:rsidRDefault="00FB18F5" w:rsidP="00FB18F5">
      <w:pPr>
        <w:spacing w:before="1"/>
        <w:ind w:left="112"/>
        <w:jc w:val="center"/>
        <w:rPr>
          <w:b/>
          <w:bCs/>
        </w:rPr>
      </w:pPr>
    </w:p>
    <w:p w14:paraId="03881735" w14:textId="01232617" w:rsidR="00FB18F5" w:rsidRPr="00FB18F5" w:rsidRDefault="00FB18F5" w:rsidP="00FB18F5">
      <w:pPr>
        <w:spacing w:before="1"/>
        <w:ind w:left="112"/>
        <w:jc w:val="center"/>
        <w:rPr>
          <w:b/>
          <w:bCs/>
        </w:rPr>
      </w:pPr>
      <w:r w:rsidRPr="00FB18F5">
        <w:rPr>
          <w:b/>
          <w:bCs/>
        </w:rPr>
        <w:t>Art. 8.</w:t>
      </w:r>
    </w:p>
    <w:p w14:paraId="16EF086D" w14:textId="77777777" w:rsidR="00FB18F5" w:rsidRPr="00FB18F5" w:rsidRDefault="00FB18F5" w:rsidP="00FB18F5">
      <w:pPr>
        <w:spacing w:before="1"/>
        <w:ind w:left="112"/>
        <w:jc w:val="center"/>
        <w:rPr>
          <w:b/>
          <w:bCs/>
        </w:rPr>
      </w:pPr>
      <w:r w:rsidRPr="00FB18F5">
        <w:rPr>
          <w:b/>
          <w:bCs/>
        </w:rPr>
        <w:t>Foro competente</w:t>
      </w:r>
    </w:p>
    <w:p w14:paraId="6B22EB9A" w14:textId="6C01960D" w:rsidR="00FB18F5" w:rsidRDefault="00FB18F5" w:rsidP="00FB18F5">
      <w:pPr>
        <w:spacing w:before="1"/>
        <w:ind w:left="112"/>
        <w:jc w:val="center"/>
      </w:pPr>
      <w:r>
        <w:t>1. In caso di controversia fra il Garante e la Stazione appaltante, il foro competente è quello determinato ai</w:t>
      </w:r>
    </w:p>
    <w:p w14:paraId="35B56104" w14:textId="77777777" w:rsidR="00FB18F5" w:rsidRDefault="00FB18F5" w:rsidP="00FB18F5">
      <w:pPr>
        <w:spacing w:before="1"/>
        <w:ind w:left="112"/>
        <w:jc w:val="center"/>
      </w:pPr>
      <w:r>
        <w:t>sensi dell’art. 25 cod. proc. civ..</w:t>
      </w:r>
    </w:p>
    <w:p w14:paraId="1215E77D" w14:textId="77777777" w:rsidR="00FB18F5" w:rsidRPr="00FB18F5" w:rsidRDefault="00FB18F5" w:rsidP="00FB18F5">
      <w:pPr>
        <w:spacing w:before="1"/>
        <w:ind w:left="112"/>
        <w:jc w:val="center"/>
        <w:rPr>
          <w:b/>
          <w:bCs/>
        </w:rPr>
      </w:pPr>
    </w:p>
    <w:p w14:paraId="0A57A9DA" w14:textId="0803BA7C" w:rsidR="00FB18F5" w:rsidRPr="00FB18F5" w:rsidRDefault="00FB18F5" w:rsidP="00FB18F5">
      <w:pPr>
        <w:spacing w:before="1"/>
        <w:ind w:left="112"/>
        <w:jc w:val="center"/>
        <w:rPr>
          <w:b/>
          <w:bCs/>
        </w:rPr>
      </w:pPr>
      <w:r w:rsidRPr="00FB18F5">
        <w:rPr>
          <w:b/>
          <w:bCs/>
        </w:rPr>
        <w:t>Art. 9.</w:t>
      </w:r>
    </w:p>
    <w:p w14:paraId="601BCA0A" w14:textId="77777777" w:rsidR="00FB18F5" w:rsidRPr="00FB18F5" w:rsidRDefault="00FB18F5" w:rsidP="00FB18F5">
      <w:pPr>
        <w:spacing w:before="1"/>
        <w:ind w:left="112"/>
        <w:jc w:val="center"/>
        <w:rPr>
          <w:b/>
          <w:bCs/>
        </w:rPr>
      </w:pPr>
      <w:r w:rsidRPr="00FB18F5">
        <w:rPr>
          <w:b/>
          <w:bCs/>
        </w:rPr>
        <w:t>Rinvio alle norme di legge</w:t>
      </w:r>
    </w:p>
    <w:p w14:paraId="17E72133" w14:textId="065C95C1" w:rsidR="00FB18F5" w:rsidRDefault="00FB18F5" w:rsidP="00FB18F5">
      <w:pPr>
        <w:spacing w:before="1"/>
        <w:ind w:left="112"/>
        <w:jc w:val="center"/>
      </w:pPr>
      <w:r>
        <w:t>1. Per tutto quanto non diversamente regolato, valgono le norme di legge</w:t>
      </w:r>
    </w:p>
    <w:sectPr w:rsidR="00FB18F5" w:rsidSect="00900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832" w:hanging="360"/>
      </w:pPr>
      <w:rPr>
        <w:rFonts w:ascii="OpenSymbol" w:hAnsi="OpenSymbol" w:cs="OpenSymbol"/>
        <w:w w:val="99"/>
        <w:sz w:val="24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1748" w:hanging="360"/>
      </w:pPr>
      <w:rPr>
        <w:rFonts w:ascii="Symbol" w:hAnsi="Symbol" w:cs="Symbol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2656" w:hanging="360"/>
      </w:pPr>
      <w:rPr>
        <w:rFonts w:ascii="Symbol" w:hAnsi="Symbol" w:cs="Symbol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3564" w:hanging="360"/>
      </w:pPr>
      <w:rPr>
        <w:rFonts w:ascii="Symbol" w:hAnsi="Symbol" w:cs="Symbol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4472" w:hanging="360"/>
      </w:pPr>
      <w:rPr>
        <w:rFonts w:ascii="Symbol" w:hAnsi="Symbol" w:cs="Symbol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5380" w:hanging="360"/>
      </w:pPr>
      <w:rPr>
        <w:rFonts w:ascii="Symbol" w:hAnsi="Symbol" w:cs="Symbol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288" w:hanging="360"/>
      </w:pPr>
      <w:rPr>
        <w:rFonts w:ascii="Symbol" w:hAnsi="Symbol" w:cs="Symbol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196" w:hanging="360"/>
      </w:pPr>
      <w:rPr>
        <w:rFonts w:ascii="Symbol" w:hAnsi="Symbol" w:cs="Symbol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104" w:hanging="360"/>
      </w:pPr>
      <w:rPr>
        <w:rFonts w:ascii="Symbol" w:hAnsi="Symbol" w:cs="Symbol"/>
        <w:lang w:val="it-IT" w:eastAsia="it-IT" w:bidi="it-IT"/>
      </w:rPr>
    </w:lvl>
  </w:abstractNum>
  <w:abstractNum w:abstractNumId="1" w15:restartNumberingAfterBreak="0">
    <w:nsid w:val="5B161DA9"/>
    <w:multiLevelType w:val="hybridMultilevel"/>
    <w:tmpl w:val="5C6E3A5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8D152C"/>
    <w:multiLevelType w:val="hybridMultilevel"/>
    <w:tmpl w:val="E03A979A"/>
    <w:lvl w:ilvl="0" w:tplc="2D462A0E">
      <w:start w:val="14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5816">
    <w:abstractNumId w:val="2"/>
  </w:num>
  <w:num w:numId="2" w16cid:durableId="1372803767">
    <w:abstractNumId w:val="1"/>
  </w:num>
  <w:num w:numId="3" w16cid:durableId="39790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06"/>
    <w:rsid w:val="00055BCA"/>
    <w:rsid w:val="00076457"/>
    <w:rsid w:val="0019108C"/>
    <w:rsid w:val="001E56E9"/>
    <w:rsid w:val="00243F7E"/>
    <w:rsid w:val="002C4D36"/>
    <w:rsid w:val="002D0CF5"/>
    <w:rsid w:val="0031241C"/>
    <w:rsid w:val="003427AE"/>
    <w:rsid w:val="00344AAB"/>
    <w:rsid w:val="00385C0D"/>
    <w:rsid w:val="00395D0D"/>
    <w:rsid w:val="00425AB0"/>
    <w:rsid w:val="00473AE8"/>
    <w:rsid w:val="004C05D7"/>
    <w:rsid w:val="005406CC"/>
    <w:rsid w:val="005B3B7D"/>
    <w:rsid w:val="005E1EAA"/>
    <w:rsid w:val="005E6A13"/>
    <w:rsid w:val="006222C8"/>
    <w:rsid w:val="00623B9F"/>
    <w:rsid w:val="006415D8"/>
    <w:rsid w:val="006446CC"/>
    <w:rsid w:val="00743D0D"/>
    <w:rsid w:val="007D0D1E"/>
    <w:rsid w:val="00864C40"/>
    <w:rsid w:val="00866FFE"/>
    <w:rsid w:val="00884506"/>
    <w:rsid w:val="008A12C2"/>
    <w:rsid w:val="00900E5B"/>
    <w:rsid w:val="009379DB"/>
    <w:rsid w:val="00951138"/>
    <w:rsid w:val="009A0505"/>
    <w:rsid w:val="009A14AE"/>
    <w:rsid w:val="009F0A90"/>
    <w:rsid w:val="00A67861"/>
    <w:rsid w:val="00AB5255"/>
    <w:rsid w:val="00AB70EF"/>
    <w:rsid w:val="00AE3F3E"/>
    <w:rsid w:val="00AF2F16"/>
    <w:rsid w:val="00B03473"/>
    <w:rsid w:val="00B643A6"/>
    <w:rsid w:val="00BD0E90"/>
    <w:rsid w:val="00C17930"/>
    <w:rsid w:val="00C54C9B"/>
    <w:rsid w:val="00C85F18"/>
    <w:rsid w:val="00C93356"/>
    <w:rsid w:val="00D26898"/>
    <w:rsid w:val="00D36E33"/>
    <w:rsid w:val="00D73800"/>
    <w:rsid w:val="00D81ABB"/>
    <w:rsid w:val="00D836D7"/>
    <w:rsid w:val="00D9414B"/>
    <w:rsid w:val="00DC6BA6"/>
    <w:rsid w:val="00E03F06"/>
    <w:rsid w:val="00E327F0"/>
    <w:rsid w:val="00E51646"/>
    <w:rsid w:val="00E767BD"/>
    <w:rsid w:val="00EE341F"/>
    <w:rsid w:val="00F03B30"/>
    <w:rsid w:val="00FB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FCAD"/>
  <w15:chartTrackingRefBased/>
  <w15:docId w15:val="{816DD6C4-6DCC-456E-B8FA-D3BE5E68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0E5B"/>
  </w:style>
  <w:style w:type="paragraph" w:styleId="Titolo1">
    <w:name w:val="heading 1"/>
    <w:basedOn w:val="Normale"/>
    <w:next w:val="Corpotesto"/>
    <w:link w:val="Titolo1Carattere"/>
    <w:qFormat/>
    <w:rsid w:val="00C85F18"/>
    <w:pPr>
      <w:suppressAutoHyphens/>
      <w:ind w:left="1884" w:right="166"/>
      <w:jc w:val="center"/>
      <w:outlineLvl w:val="0"/>
    </w:pPr>
    <w:rPr>
      <w:rFonts w:ascii="Liberation Serif" w:eastAsia="SimSun" w:hAnsi="Liberation Serif" w:cs="Mangal"/>
      <w:b/>
      <w:bCs/>
      <w:kern w:val="1"/>
      <w:sz w:val="24"/>
      <w:szCs w:val="24"/>
      <w:lang w:eastAsia="hi-I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B5255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A6786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6FF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5D0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C85F18"/>
    <w:rPr>
      <w:rFonts w:ascii="Liberation Serif" w:eastAsia="SimSun" w:hAnsi="Liberation Serif" w:cs="Mangal"/>
      <w:b/>
      <w:bCs/>
      <w:kern w:val="1"/>
      <w:sz w:val="24"/>
      <w:szCs w:val="24"/>
      <w:lang w:eastAsia="hi-IN" w:bidi="hi-IN"/>
      <w14:ligatures w14:val="none"/>
    </w:rPr>
  </w:style>
  <w:style w:type="paragraph" w:styleId="Corpotesto">
    <w:name w:val="Body Text"/>
    <w:basedOn w:val="Normale"/>
    <w:link w:val="CorpotestoCarattere"/>
    <w:rsid w:val="00C85F18"/>
    <w:pPr>
      <w:suppressAutoHyphens/>
      <w:spacing w:after="120"/>
    </w:pPr>
    <w:rPr>
      <w:rFonts w:ascii="Liberation Serif" w:eastAsia="SimSun" w:hAnsi="Liberation Serif" w:cs="Mangal"/>
      <w:kern w:val="1"/>
      <w:sz w:val="24"/>
      <w:szCs w:val="24"/>
      <w:lang w:eastAsia="hi-IN" w:bidi="hi-IN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C85F18"/>
    <w:rPr>
      <w:rFonts w:ascii="Liberation Serif" w:eastAsia="SimSun" w:hAnsi="Liberation Serif" w:cs="Mangal"/>
      <w:kern w:val="1"/>
      <w:sz w:val="24"/>
      <w:szCs w:val="24"/>
      <w:lang w:eastAsia="hi-IN" w:bidi="hi-IN"/>
      <w14:ligatures w14:val="none"/>
    </w:rPr>
  </w:style>
  <w:style w:type="paragraph" w:customStyle="1" w:styleId="Paragrafoelenco1">
    <w:name w:val="Paragrafo elenco1"/>
    <w:basedOn w:val="Normale"/>
    <w:rsid w:val="00C85F18"/>
    <w:pPr>
      <w:suppressAutoHyphens/>
      <w:ind w:left="832" w:right="166" w:hanging="360"/>
      <w:jc w:val="both"/>
    </w:pPr>
    <w:rPr>
      <w:rFonts w:ascii="Liberation Serif" w:eastAsia="SimSun" w:hAnsi="Liberation Serif" w:cs="Mangal"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G</dc:creator>
  <cp:keywords/>
  <dc:description/>
  <cp:lastModifiedBy>Smart Procurement</cp:lastModifiedBy>
  <cp:revision>2</cp:revision>
  <dcterms:created xsi:type="dcterms:W3CDTF">2024-10-21T14:32:00Z</dcterms:created>
  <dcterms:modified xsi:type="dcterms:W3CDTF">2024-10-21T14:32:00Z</dcterms:modified>
</cp:coreProperties>
</file>